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5E82B" w14:textId="77777777" w:rsidR="00753ACF" w:rsidRPr="00EE2220" w:rsidRDefault="0077194B">
      <w:pPr>
        <w:pStyle w:val="CorpoA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EE2220">
        <w:rPr>
          <w:rFonts w:ascii="Times New Roman" w:hAnsi="Times New Roman"/>
          <w:b/>
          <w:bCs/>
          <w:sz w:val="20"/>
          <w:szCs w:val="20"/>
          <w:lang w:val="en-US"/>
        </w:rPr>
        <w:t xml:space="preserve">GESTIONE DEL 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WHISTLEBLOWING</w:t>
      </w:r>
      <w:r w:rsidRPr="00EE2220">
        <w:rPr>
          <w:rFonts w:ascii="Times New Roman" w:hAnsi="Times New Roman"/>
          <w:b/>
          <w:bCs/>
          <w:sz w:val="20"/>
          <w:szCs w:val="20"/>
          <w:lang w:val="en-US"/>
        </w:rPr>
        <w:t xml:space="preserve"> (ART. 54-BIS D.LGS. N. 165/01)</w:t>
      </w:r>
    </w:p>
    <w:p w14:paraId="40B8BB66" w14:textId="77777777" w:rsidR="00753ACF" w:rsidRPr="00EE2220" w:rsidRDefault="00753ACF">
      <w:pPr>
        <w:pStyle w:val="CorpoA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14:paraId="09FA029D" w14:textId="77777777" w:rsidR="00753ACF" w:rsidRDefault="0077194B">
      <w:pPr>
        <w:pStyle w:val="CorpoA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INFORMATIVA SUL </w:t>
      </w:r>
      <w:r w:rsidRPr="00EE2220">
        <w:rPr>
          <w:rFonts w:ascii="Times New Roman" w:hAnsi="Times New Roman"/>
          <w:b/>
          <w:bCs/>
          <w:sz w:val="20"/>
          <w:szCs w:val="20"/>
        </w:rPr>
        <w:t>TRATTAMENTO DEI DATI PERSONALI</w:t>
      </w:r>
    </w:p>
    <w:p w14:paraId="5742EA3F" w14:textId="77777777" w:rsidR="00753ACF" w:rsidRDefault="0077194B">
      <w:pPr>
        <w:pStyle w:val="CorpoA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ART. 13 REG UE 16/679</w:t>
      </w:r>
    </w:p>
    <w:p w14:paraId="3D2148FB" w14:textId="77777777" w:rsidR="00753ACF" w:rsidRDefault="00753ACF">
      <w:pPr>
        <w:pStyle w:val="CorpoA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0F993B5" w14:textId="7A3324DB" w:rsidR="00753ACF" w:rsidRDefault="0077194B">
      <w:pPr>
        <w:pStyle w:val="CorpoA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 A.P.S.P. </w:t>
      </w:r>
      <w:r w:rsidR="00EE2220">
        <w:rPr>
          <w:rFonts w:ascii="Times New Roman" w:hAnsi="Times New Roman"/>
          <w:sz w:val="20"/>
          <w:szCs w:val="20"/>
        </w:rPr>
        <w:t>BEATO DE TSCHIDERER con sede in Via Piave, 38122 Trento,</w:t>
      </w:r>
      <w:r>
        <w:rPr>
          <w:rFonts w:ascii="Times New Roman" w:hAnsi="Times New Roman"/>
          <w:sz w:val="20"/>
          <w:szCs w:val="20"/>
        </w:rPr>
        <w:t xml:space="preserve"> titolare del trattamento, fornisce le 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guenti informazioni nel merito dei dati personali trattati nel contesto della procedura del c.d. “whistleblowing” (art. 54 bis </w:t>
      </w:r>
      <w:proofErr w:type="spellStart"/>
      <w:r>
        <w:rPr>
          <w:rFonts w:ascii="Times New Roman" w:hAnsi="Times New Roman"/>
          <w:sz w:val="20"/>
          <w:szCs w:val="20"/>
        </w:rPr>
        <w:t>d.lgs</w:t>
      </w:r>
      <w:proofErr w:type="spellEnd"/>
      <w:r>
        <w:rPr>
          <w:rFonts w:ascii="Times New Roman" w:hAnsi="Times New Roman"/>
          <w:sz w:val="20"/>
          <w:szCs w:val="20"/>
        </w:rPr>
        <w:t xml:space="preserve"> 165/01).</w:t>
      </w:r>
    </w:p>
    <w:p w14:paraId="41A46E61" w14:textId="77777777" w:rsidR="00753ACF" w:rsidRDefault="00753ACF">
      <w:pPr>
        <w:pStyle w:val="CorpoA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C2B6118" w14:textId="77777777" w:rsidR="00753ACF" w:rsidRDefault="0077194B">
      <w:pPr>
        <w:pStyle w:val="CorpoA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f</w:t>
      </w:r>
      <w:proofErr w:type="spellStart"/>
      <w:r>
        <w:rPr>
          <w:rFonts w:ascii="Times New Roman" w:hAnsi="Times New Roman"/>
          <w:b/>
          <w:bCs/>
          <w:sz w:val="20"/>
          <w:szCs w:val="20"/>
          <w:lang w:val="de-DE"/>
        </w:rPr>
        <w:t>inalit</w:t>
      </w:r>
      <w:proofErr w:type="spellEnd"/>
      <w:r>
        <w:rPr>
          <w:rFonts w:ascii="Times New Roman" w:hAnsi="Times New Roman"/>
          <w:b/>
          <w:bCs/>
          <w:sz w:val="20"/>
          <w:szCs w:val="20"/>
          <w:lang w:val="fr-FR"/>
        </w:rPr>
        <w:t xml:space="preserve">à </w:t>
      </w:r>
      <w:r>
        <w:rPr>
          <w:rFonts w:ascii="Times New Roman" w:hAnsi="Times New Roman"/>
          <w:b/>
          <w:bCs/>
          <w:sz w:val="20"/>
          <w:szCs w:val="20"/>
        </w:rPr>
        <w:t>del trattamento e base giuridica</w:t>
      </w:r>
    </w:p>
    <w:p w14:paraId="0738B81A" w14:textId="77777777" w:rsidR="00753ACF" w:rsidRDefault="0077194B">
      <w:pPr>
        <w:pStyle w:val="CorpoA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dati personali acquisiti per effetto del ricevimento di una segnalazione volta a rappresentare presunte condotte illecite sono trattati dal Responsabile della prevenzione della corruzione e della trasparenza nell'esecuzione dei propri compiti di interesse pubblico o comunque connessi all'esercizio dei propri pubblici poteri, con particolare riferimento al compito di accertare eventuali illeciti denunciati nell’interesse dell’</w:t>
      </w:r>
      <w:proofErr w:type="spellStart"/>
      <w:r>
        <w:rPr>
          <w:rFonts w:ascii="Times New Roman" w:hAnsi="Times New Roman"/>
          <w:sz w:val="20"/>
          <w:szCs w:val="20"/>
        </w:rPr>
        <w:t>integrit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à </w:t>
      </w:r>
      <w:r>
        <w:rPr>
          <w:rFonts w:ascii="Times New Roman" w:hAnsi="Times New Roman"/>
          <w:sz w:val="20"/>
          <w:szCs w:val="20"/>
        </w:rPr>
        <w:t>del titolare del trattamento, ai sensi dell’art. 54-bis del d.lgs. n. 165/2001. I dati raccolti vengono trattati allo scopo di effettuare le necessarie attività istruttorie volte a ver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ficare la fondatezza dei fatti oggetto di segnalazione e l’adozione dei conseguenti provvedimenti nei limiti di legge.</w:t>
      </w:r>
    </w:p>
    <w:p w14:paraId="25FB83E1" w14:textId="77777777" w:rsidR="00753ACF" w:rsidRDefault="00753ACF">
      <w:pPr>
        <w:pStyle w:val="CorpoA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FF1EB0" w14:textId="77777777" w:rsidR="00753ACF" w:rsidRDefault="0077194B">
      <w:pPr>
        <w:pStyle w:val="CorpoA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tipologia di dati trattati</w:t>
      </w:r>
    </w:p>
    <w:p w14:paraId="22491883" w14:textId="77777777" w:rsidR="00753ACF" w:rsidRDefault="0077194B">
      <w:pPr>
        <w:pStyle w:val="CorpoA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trattamento potrebbe riguardare dati personali “comuni” (identificativi dell’interessato) e, nel  caso in cui ciò deriva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se dal tenore e dal contenuto della segnalazione, dati rientranti nelle “categorie particolari” e/o dati personali relativi a condanne penali.</w:t>
      </w:r>
    </w:p>
    <w:p w14:paraId="693E1382" w14:textId="77777777" w:rsidR="00753ACF" w:rsidRDefault="00753ACF">
      <w:pPr>
        <w:pStyle w:val="CorpoA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7F4BBB" w14:textId="77777777" w:rsidR="00753ACF" w:rsidRDefault="0077194B">
      <w:pPr>
        <w:pStyle w:val="CorpoA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modalit</w:t>
      </w:r>
      <w:proofErr w:type="spellEnd"/>
      <w:r>
        <w:rPr>
          <w:rFonts w:ascii="Times New Roman" w:hAnsi="Times New Roman"/>
          <w:b/>
          <w:bCs/>
          <w:sz w:val="20"/>
          <w:szCs w:val="20"/>
          <w:lang w:val="fr-FR"/>
        </w:rPr>
        <w:t xml:space="preserve">à </w:t>
      </w:r>
      <w:r>
        <w:rPr>
          <w:rFonts w:ascii="Times New Roman" w:hAnsi="Times New Roman"/>
          <w:b/>
          <w:bCs/>
          <w:sz w:val="20"/>
          <w:szCs w:val="20"/>
        </w:rPr>
        <w:t xml:space="preserve">del trattamento </w:t>
      </w:r>
    </w:p>
    <w:p w14:paraId="6788EED1" w14:textId="57A07299" w:rsidR="00753ACF" w:rsidRDefault="0077194B">
      <w:pPr>
        <w:pStyle w:val="CorpoA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dati vengono trattati nel rispetto delle misure di sicurezza tecniche e organizzative previste dal Regolamento UE attr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verso procedure adeguate a garantire </w:t>
      </w:r>
      <w:r w:rsidR="0075161B">
        <w:rPr>
          <w:rFonts w:ascii="Times New Roman" w:hAnsi="Times New Roman"/>
          <w:sz w:val="20"/>
          <w:szCs w:val="20"/>
        </w:rPr>
        <w:t>l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a riservatezza degli stessi. I dati non saranno trattati mediante processi decisionali automatizzati. Tutti i dati conferiti sono trattati secondo i principi di correttezza, </w:t>
      </w:r>
      <w:proofErr w:type="spellStart"/>
      <w:r>
        <w:rPr>
          <w:rFonts w:ascii="Times New Roman" w:hAnsi="Times New Roman"/>
          <w:sz w:val="20"/>
          <w:szCs w:val="20"/>
        </w:rPr>
        <w:t>liceit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à </w:t>
      </w:r>
      <w:r>
        <w:rPr>
          <w:rFonts w:ascii="Times New Roman" w:hAnsi="Times New Roman"/>
          <w:sz w:val="20"/>
          <w:szCs w:val="20"/>
        </w:rPr>
        <w:t>e trasparenza sia in forma cart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cea che elettronica e protetti mediante misure tecniche e organizzative appropriate per assicurare idonei livelli di sic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rezza. I dati acquisiti nella procedura sopra descritta non saranno trasferiti verso Paesi Terzi o organizzazioni intern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zionali extra UE.</w:t>
      </w:r>
    </w:p>
    <w:p w14:paraId="0B3EB660" w14:textId="77777777" w:rsidR="00753ACF" w:rsidRDefault="00753ACF">
      <w:pPr>
        <w:pStyle w:val="CorpoA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E72A4F" w14:textId="77777777" w:rsidR="00753ACF" w:rsidRDefault="0077194B">
      <w:pPr>
        <w:pStyle w:val="Didefaul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Durata del trattamento e periodo di conservazione </w:t>
      </w:r>
    </w:p>
    <w:p w14:paraId="624F03B2" w14:textId="77777777" w:rsidR="00753ACF" w:rsidRDefault="0077194B">
      <w:pPr>
        <w:pStyle w:val="Didefaul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dati saranno trattati per tutto il tempo necessario allo svolgimento delle procedure sopra indicate nel rispetto dei limiti di legge.</w:t>
      </w:r>
    </w:p>
    <w:p w14:paraId="0C4DAC31" w14:textId="77777777" w:rsidR="00753ACF" w:rsidRDefault="00753ACF">
      <w:pPr>
        <w:pStyle w:val="CorpoA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AD39631" w14:textId="77777777" w:rsidR="00753ACF" w:rsidRDefault="0077194B">
      <w:pPr>
        <w:pStyle w:val="CorpoA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destinatari dei dati</w:t>
      </w:r>
    </w:p>
    <w:p w14:paraId="423586BB" w14:textId="77777777" w:rsidR="00753ACF" w:rsidRDefault="0077194B">
      <w:pPr>
        <w:pStyle w:val="CorpoA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Possono essere destinatari dei dati raccolti a seguito della segnalazione, se del caso, l’</w:t>
      </w:r>
      <w:proofErr w:type="spellStart"/>
      <w:r>
        <w:rPr>
          <w:rFonts w:ascii="Times New Roman" w:hAnsi="Times New Roman"/>
          <w:sz w:val="20"/>
          <w:szCs w:val="20"/>
        </w:rPr>
        <w:t>Autorit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à </w:t>
      </w:r>
      <w:r>
        <w:rPr>
          <w:rFonts w:ascii="Times New Roman" w:hAnsi="Times New Roman"/>
          <w:sz w:val="20"/>
          <w:szCs w:val="20"/>
        </w:rPr>
        <w:t>Giudiziaria, la Corte dei conti e l’</w:t>
      </w:r>
      <w:r>
        <w:rPr>
          <w:rFonts w:ascii="Times New Roman" w:hAnsi="Times New Roman"/>
          <w:sz w:val="20"/>
          <w:szCs w:val="20"/>
          <w:lang w:val="pt-PT"/>
        </w:rPr>
        <w:t>ANAC.</w:t>
      </w:r>
      <w:r>
        <w:rPr>
          <w:rFonts w:ascii="Times New Roman" w:hAnsi="Times New Roman"/>
          <w:sz w:val="20"/>
          <w:szCs w:val="20"/>
        </w:rPr>
        <w:t xml:space="preserve"> All’interno dell’organizzazione del titolare, i dati possono essere conosciuti da soggetti autorizzati al loro trattamento appositamente istruiti. Oltre ai soggetti appena specificati, se necessario per il perseguimento delle pr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dette finalità, i dati potranno essere conosciuti da parte di terzi, nominati responsabili del trattamento, nella misura in cui ciò sia indispensabile e funzionale a consentire l’espletamento dell’</w:t>
      </w:r>
      <w:proofErr w:type="spellStart"/>
      <w:r>
        <w:rPr>
          <w:rFonts w:ascii="Times New Roman" w:hAnsi="Times New Roman"/>
          <w:sz w:val="20"/>
          <w:szCs w:val="20"/>
        </w:rPr>
        <w:t>attivita</w:t>
      </w:r>
      <w:proofErr w:type="spellEnd"/>
      <w:r>
        <w:rPr>
          <w:rFonts w:ascii="Times New Roman" w:hAnsi="Times New Roman"/>
          <w:sz w:val="20"/>
          <w:szCs w:val="20"/>
        </w:rPr>
        <w:t>̀ da essi svolta a favore dell’Ente e nei l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miti dei profili di autorizzazione per essi individuati.</w:t>
      </w:r>
    </w:p>
    <w:p w14:paraId="1A7E7EDD" w14:textId="77777777" w:rsidR="00753ACF" w:rsidRDefault="00753ACF">
      <w:pPr>
        <w:pStyle w:val="CorpoA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1D5B057" w14:textId="77777777" w:rsidR="00753ACF" w:rsidRDefault="0077194B">
      <w:pPr>
        <w:pStyle w:val="CorpoA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diritti degli interessati</w:t>
      </w:r>
    </w:p>
    <w:p w14:paraId="7DDABB17" w14:textId="77777777" w:rsidR="00753ACF" w:rsidRDefault="0077194B">
      <w:pPr>
        <w:pStyle w:val="CorpoA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Relativamente ai dati conferiti l’interessato o un suo rappresentante possono esercitare, senza particolari formalità, i 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ritti previsti dagli artt. 15 e segg. del Regolamento UE 16/679 rivolgendosi al Responsabile della prevenzione della co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ruzione e della trasparenza (domiciliato presso la sede del titolare) o rivolgendosi al responsabile per la protezione dei dati al recapito sotto indicato. L’interessato può inoltre proporre reclamo all'autorità di controllo competente ex articolo 77 del predetto Reg. UE 16/679 o  adire le opportune sedi giudiziarie.</w:t>
      </w:r>
    </w:p>
    <w:p w14:paraId="4B48581E" w14:textId="77777777" w:rsidR="00753ACF" w:rsidRDefault="00753ACF">
      <w:pPr>
        <w:pStyle w:val="Didefaul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16963EC" w14:textId="77777777" w:rsidR="00753ACF" w:rsidRDefault="0077194B">
      <w:pPr>
        <w:pStyle w:val="Didefaul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Informazioni sul Responsabile Protezione Dati (RPD) </w:t>
      </w:r>
    </w:p>
    <w:p w14:paraId="332B133A" w14:textId="77777777" w:rsidR="00753ACF" w:rsidRDefault="0077194B">
      <w:pPr>
        <w:pStyle w:val="Di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jc w:val="both"/>
      </w:pPr>
      <w:r>
        <w:rPr>
          <w:rFonts w:ascii="Times New Roman" w:hAnsi="Times New Roman"/>
          <w:sz w:val="20"/>
          <w:szCs w:val="20"/>
        </w:rPr>
        <w:t>La nostra Amministrazione ha designato il proprio responsabile per la protezione dei dati personali raggiungibile all’indirizzo: serviziodpo@upipa.tn.it.</w:t>
      </w:r>
    </w:p>
    <w:sectPr w:rsidR="00753ACF">
      <w:headerReference w:type="default" r:id="rId10"/>
      <w:footerReference w:type="defaul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6A23F" w14:textId="77777777" w:rsidR="00C67000" w:rsidRDefault="0077194B">
      <w:r>
        <w:separator/>
      </w:r>
    </w:p>
  </w:endnote>
  <w:endnote w:type="continuationSeparator" w:id="0">
    <w:p w14:paraId="2F00CF88" w14:textId="77777777" w:rsidR="00C67000" w:rsidRDefault="0077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216CB" w14:textId="77777777" w:rsidR="00753ACF" w:rsidRDefault="00753ACF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D5E48" w14:textId="77777777" w:rsidR="00C67000" w:rsidRDefault="0077194B">
      <w:r>
        <w:separator/>
      </w:r>
    </w:p>
  </w:footnote>
  <w:footnote w:type="continuationSeparator" w:id="0">
    <w:p w14:paraId="25C2A277" w14:textId="77777777" w:rsidR="00C67000" w:rsidRDefault="00771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9D0ED" w14:textId="77777777" w:rsidR="00753ACF" w:rsidRDefault="00753ACF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CF"/>
    <w:rsid w:val="0075161B"/>
    <w:rsid w:val="00753ACF"/>
    <w:rsid w:val="0077194B"/>
    <w:rsid w:val="00C67000"/>
    <w:rsid w:val="00E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5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FC9515AECA3443A79A42F73A310797" ma:contentTypeVersion="10" ma:contentTypeDescription="Creare un nuovo documento." ma:contentTypeScope="" ma:versionID="16cc5e63b2f179751662525d10c63e07">
  <xsd:schema xmlns:xsd="http://www.w3.org/2001/XMLSchema" xmlns:xs="http://www.w3.org/2001/XMLSchema" xmlns:p="http://schemas.microsoft.com/office/2006/metadata/properties" xmlns:ns2="012cedf2-115d-4072-bef1-fcb0d9b88034" xmlns:ns3="d1b73559-14d8-4992-88cd-7be4a054538e" targetNamespace="http://schemas.microsoft.com/office/2006/metadata/properties" ma:root="true" ma:fieldsID="44d480fa2ddbd35c1c76501b3ea577e8" ns2:_="" ns3:_="">
    <xsd:import namespace="012cedf2-115d-4072-bef1-fcb0d9b88034"/>
    <xsd:import namespace="d1b73559-14d8-4992-88cd-7be4a0545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cedf2-115d-4072-bef1-fcb0d9b88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73559-14d8-4992-88cd-7be4a0545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40F7CD-6603-4135-8C27-84D20F330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cedf2-115d-4072-bef1-fcb0d9b88034"/>
    <ds:schemaRef ds:uri="d1b73559-14d8-4992-88cd-7be4a0545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4B127-9F1D-4DDC-920D-7B974892D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4B372-9134-4D4D-9538-9BE785FFE8A8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012cedf2-115d-4072-bef1-fcb0d9b88034"/>
    <ds:schemaRef ds:uri="d1b73559-14d8-4992-88cd-7be4a054538e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Re</dc:creator>
  <cp:lastModifiedBy>Cristofolini Claudia</cp:lastModifiedBy>
  <cp:revision>2</cp:revision>
  <dcterms:created xsi:type="dcterms:W3CDTF">2019-10-04T08:10:00Z</dcterms:created>
  <dcterms:modified xsi:type="dcterms:W3CDTF">2019-10-04T08:10:00Z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0x01010038FC9515AECA3443A79A42F73A310797</vt:lpwstr>
  </property>
</Properties>
</file>